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C32A45" w14:textId="6D3B037F" w:rsidR="00885826" w:rsidRDefault="00174722">
      <w:pPr>
        <w:pStyle w:val="Title"/>
      </w:pPr>
      <w:r>
        <w:t>- Episode 7: Implementing The 16 Success Drivers and How They Can Be Holistically Enacted and Embodied in Schools and Across Learning Ecosystems. Introduction Part A</w:t>
      </w:r>
      <w:r w:rsidR="00AF5855">
        <w:t>.</w:t>
      </w:r>
    </w:p>
    <w:p w14:paraId="50398C01" w14:textId="77777777" w:rsidR="00885826" w:rsidRDefault="00174722">
      <w:pPr>
        <w:pStyle w:val="Script"/>
      </w:pPr>
      <w:r>
        <w:rPr>
          <w:color w:val="808080"/>
        </w:rPr>
        <w:t>[00:00:00]</w:t>
      </w:r>
      <w:r>
        <w:t xml:space="preserve"> </w:t>
      </w:r>
    </w:p>
    <w:p w14:paraId="4ABCF4A1" w14:textId="77777777" w:rsidR="00885826" w:rsidRDefault="00174722">
      <w:pPr>
        <w:pStyle w:val="Script"/>
      </w:pPr>
      <w:r>
        <w:rPr>
          <w:color w:val="808080"/>
        </w:rPr>
        <w:t>[00:00:00]</w:t>
      </w:r>
      <w:r>
        <w:t xml:space="preserve"> </w:t>
      </w:r>
      <w:r>
        <w:rPr>
          <w:b/>
          <w:bCs/>
          <w:color w:val="9C5DE1"/>
        </w:rPr>
        <w:t>David Osher:</w:t>
      </w:r>
      <w:r>
        <w:t xml:space="preserve"> Across the first six episodes of this podcast, we've been deepening our understanding of what it takes for young people to learn deeply and thrive, and what adults and young people can do right now to help make that happen. We began with the basic question: what would it take for all young people, not simply to perform adequately in school, but to learn deeply </w:t>
      </w:r>
      <w:proofErr w:type="gramStart"/>
      <w:r>
        <w:t>and also</w:t>
      </w:r>
      <w:proofErr w:type="gramEnd"/>
      <w:r>
        <w:t xml:space="preserve"> to thrive?</w:t>
      </w:r>
    </w:p>
    <w:p w14:paraId="4E019E67" w14:textId="77777777" w:rsidR="00885826" w:rsidRDefault="00174722">
      <w:pPr>
        <w:pStyle w:val="Script"/>
      </w:pPr>
      <w:r>
        <w:t xml:space="preserve">And over these conversations, several things have become increasingly clear. One is that learning, development, and wellbeing cannot be separated. Young people do not leave their identities, emotions, relationships, histories, cultures, families, or experiences at the classroom door. What happens academically is intertwined with whether they feel safe, whether they belong, whether they are known, whether they see meaning in what they are doing, and whether they have opportunities to </w:t>
      </w:r>
      <w:r>
        <w:rPr>
          <w:color w:val="808080"/>
        </w:rPr>
        <w:t>[00:01:00]</w:t>
      </w:r>
      <w:r>
        <w:t xml:space="preserve"> exercise individual and collective agency.</w:t>
      </w:r>
    </w:p>
    <w:p w14:paraId="2F26AE0F" w14:textId="77777777" w:rsidR="00885826" w:rsidRDefault="00174722">
      <w:pPr>
        <w:pStyle w:val="Script"/>
      </w:pPr>
      <w:r>
        <w:t>A second theme has been that we cannot get there one program at a time.</w:t>
      </w:r>
    </w:p>
    <w:p w14:paraId="79F04AB7" w14:textId="77777777" w:rsidR="00885826" w:rsidRDefault="00174722">
      <w:pPr>
        <w:pStyle w:val="Script"/>
      </w:pPr>
      <w:r>
        <w:t>In our last episode especially, we kept returning to the problem of fragmentation. Schools can have excellent programs, committed people, community partners, mental health services, social and emotional learning, restorative practices, family engagement efforts, and still have students experience the school as disconnected pieces</w:t>
      </w:r>
    </w:p>
    <w:p w14:paraId="126F4372" w14:textId="77777777" w:rsidR="00885826" w:rsidRDefault="00174722">
      <w:pPr>
        <w:pStyle w:val="Script"/>
      </w:pPr>
      <w:r>
        <w:t xml:space="preserve">Jane Quinn used the image of a Christmas tree school, schools on which good programs keep getting hung like ornaments without necessarily asking how </w:t>
      </w:r>
      <w:proofErr w:type="gramStart"/>
      <w:r>
        <w:t>do they fit</w:t>
      </w:r>
      <w:proofErr w:type="gramEnd"/>
      <w:r>
        <w:t xml:space="preserve"> together, or whether from the standpoint of a young person or a family, they add up to something coherent.</w:t>
      </w:r>
    </w:p>
    <w:p w14:paraId="517B34B8" w14:textId="77777777" w:rsidR="00885826" w:rsidRDefault="00174722">
      <w:pPr>
        <w:pStyle w:val="Script"/>
      </w:pPr>
      <w:proofErr w:type="gramStart"/>
      <w:r>
        <w:lastRenderedPageBreak/>
        <w:t>So</w:t>
      </w:r>
      <w:proofErr w:type="gramEnd"/>
      <w:r>
        <w:t xml:space="preserve"> this episode is about the next question: what does it look like when people </w:t>
      </w:r>
      <w:proofErr w:type="gramStart"/>
      <w:r>
        <w:t>actually do</w:t>
      </w:r>
      <w:proofErr w:type="gramEnd"/>
      <w:r>
        <w:t xml:space="preserve"> put the pieces together? That is a </w:t>
      </w:r>
      <w:r>
        <w:rPr>
          <w:color w:val="808080"/>
        </w:rPr>
        <w:t>[00:02:00]</w:t>
      </w:r>
      <w:r>
        <w:t xml:space="preserve"> different question from asking what works. We have a substantial evidence base about many things that work. The harder question is how schools and systems take those pieces and turn them into a strategy, something coherent enough to shape what adults do every day, and adaptive enough to respond to each young person, family, community, and the circumstances that the schools serve That way of thinking has shaped my work for a long time.</w:t>
      </w:r>
    </w:p>
    <w:p w14:paraId="7EA25B8B" w14:textId="77777777" w:rsidR="00885826" w:rsidRDefault="00174722">
      <w:pPr>
        <w:pStyle w:val="Script"/>
      </w:pPr>
      <w:r>
        <w:t>It was central, for example, to the Harvard Ed Press book, Creating Safe, Equitable, Engaging Schools. We developed that book because there was already a great deal of evidence about effective programs and practices, but what educators needed, we felt, was something different, a way to think strategically and comprehensively about how the pieces fit together to support deeper learning, wellbeing, and equity.</w:t>
      </w:r>
    </w:p>
    <w:p w14:paraId="359EE87F" w14:textId="77777777" w:rsidR="00885826" w:rsidRDefault="00174722">
      <w:pPr>
        <w:pStyle w:val="Script"/>
      </w:pPr>
      <w:r>
        <w:t xml:space="preserve">Throughout the book, we tried to connect research to </w:t>
      </w:r>
      <w:r>
        <w:rPr>
          <w:color w:val="808080"/>
        </w:rPr>
        <w:t>[00:03:00]</w:t>
      </w:r>
      <w:r>
        <w:t xml:space="preserve"> places where people were actually doing the work, and Cleveland became an important recurring example in every chapter, not because it was the only place doing the good work, which you and many others, but because different parts of Cleveland's </w:t>
      </w:r>
      <w:proofErr w:type="spellStart"/>
      <w:r>
        <w:t>humanware</w:t>
      </w:r>
      <w:proofErr w:type="spellEnd"/>
      <w:r>
        <w:t xml:space="preserve"> effort allowed us to show what readiness, planning, student voice, intervention selection, school climate, restorative practices, and continuous improvement could look like in practice.</w:t>
      </w:r>
    </w:p>
    <w:p w14:paraId="2C4A1380" w14:textId="77777777" w:rsidR="00885826" w:rsidRDefault="00174722">
      <w:pPr>
        <w:pStyle w:val="Script"/>
      </w:pPr>
      <w:r>
        <w:t>That same way of thinking shaped the National Academy of Education paper, Building Supportive Conditions and Comprehensive Supports to Enhance Student and Educator Wellbeing and Thriving. In that paper, we identified 16 interconnected success drivers, such as being equity centered, relationally rich, culturally responsive, strengths based, family and youth driven, attentive to the whole person, systematic about readiness and implementation, and committed to continuous improvement.</w:t>
      </w:r>
    </w:p>
    <w:p w14:paraId="30DAD44B" w14:textId="77777777" w:rsidR="00885826" w:rsidRDefault="00174722">
      <w:pPr>
        <w:pStyle w:val="Script"/>
      </w:pPr>
      <w:r>
        <w:t xml:space="preserve">But the important word there is interconnected. </w:t>
      </w:r>
      <w:r>
        <w:rPr>
          <w:color w:val="808080"/>
        </w:rPr>
        <w:t>[00:04:00]</w:t>
      </w:r>
      <w:r>
        <w:t xml:space="preserve"> The point was never that somebody should take a list of 16 things and check them off. The question is, what happens when these drivers begin to reinforce one another and become a part of a coherent way of doing work and building conditions for learning and thriving?</w:t>
      </w:r>
    </w:p>
    <w:p w14:paraId="560EFCF7" w14:textId="77777777" w:rsidR="00885826" w:rsidRDefault="00174722">
      <w:pPr>
        <w:pStyle w:val="Script"/>
      </w:pPr>
      <w:r>
        <w:t>But the important word there is interconnected. The point was never that somebody should take a list of 16 things and check them off. The question was what happens when these drivers begin to reinforce one another and become part of a coherent way of doing the work?</w:t>
      </w:r>
    </w:p>
    <w:p w14:paraId="180B60A8" w14:textId="77777777" w:rsidR="00885826" w:rsidRDefault="00174722">
      <w:pPr>
        <w:pStyle w:val="Script"/>
      </w:pPr>
      <w:r>
        <w:lastRenderedPageBreak/>
        <w:t xml:space="preserve">That is why when I was looking for places that could make this concrete in the National Academy paper, I chose the UCLA Community School and Cleveland deliberately. I already knew both places well enough to know that they were not simply doing a collection of good things. They had developed a coherent, sustained approach in which many of these drivers reinforce one another. </w:t>
      </w:r>
      <w:r>
        <w:rPr>
          <w:color w:val="808080"/>
        </w:rPr>
        <w:t>[00:05:00]</w:t>
      </w:r>
      <w:r>
        <w:t xml:space="preserve"> They were also very different places. The UCLA Community School was deliberately created from the ground up. Cleveland was transforming a large existing district under extraordinary, difficult conditions.</w:t>
      </w:r>
    </w:p>
    <w:p w14:paraId="0787C71B" w14:textId="77777777" w:rsidR="00885826" w:rsidRDefault="00174722">
      <w:pPr>
        <w:pStyle w:val="Script"/>
      </w:pPr>
      <w:r>
        <w:t>Different scale, different history, different starting conditions. That made them s- especially useful to put side by side. In fact, the final section of the National Academy paper is called Putting the Pieces Together, and when we looked across the two places, some important commonalities were visible.</w:t>
      </w:r>
    </w:p>
    <w:p w14:paraId="7EEE0184" w14:textId="77777777" w:rsidR="00885826" w:rsidRDefault="00174722">
      <w:pPr>
        <w:pStyle w:val="Script"/>
      </w:pPr>
      <w:r>
        <w:t xml:space="preserve">Neither began by shopping for a collection of programs. Both developed a clear conception of what they wanted young people to experience, and then worked to align structures, relationships, practices, supports, and resources around that conception. Both had leaders who stayed with the work long enough for people to develop capacity and trust rather than </w:t>
      </w:r>
      <w:r>
        <w:rPr>
          <w:color w:val="808080"/>
        </w:rPr>
        <w:t>[00:06:00]</w:t>
      </w:r>
      <w:r>
        <w:t xml:space="preserve"> continually resetting the agenda.</w:t>
      </w:r>
    </w:p>
    <w:p w14:paraId="0BBD1353" w14:textId="77777777" w:rsidR="00885826" w:rsidRDefault="00174722">
      <w:pPr>
        <w:pStyle w:val="Script"/>
      </w:pPr>
      <w:r>
        <w:t xml:space="preserve">Both combined a coherent direction with the understanding that what works in general still </w:t>
      </w:r>
      <w:proofErr w:type="gramStart"/>
      <w:r>
        <w:t>has to</w:t>
      </w:r>
      <w:proofErr w:type="gramEnd"/>
      <w:r>
        <w:t xml:space="preserve"> be adapted to particular people, neighborhoods, communities, and circumstances. Both use plenty of data, not primarily to judge people, but to learn and improve. Both reached beyond the school and the district itself to families and communities, universities, community organizations, philanthropy, public agencies, and teacher unions.</w:t>
      </w:r>
    </w:p>
    <w:p w14:paraId="6F9B200E" w14:textId="77777777" w:rsidR="00885826" w:rsidRDefault="00174722">
      <w:pPr>
        <w:pStyle w:val="Script"/>
      </w:pPr>
      <w:proofErr w:type="gramStart"/>
      <w:r>
        <w:t>So</w:t>
      </w:r>
      <w:proofErr w:type="gramEnd"/>
      <w:r>
        <w:t xml:space="preserve"> I'm s- especially pleased in this episode to be able to share these two places with you, not as models to copy, but as places we can learn from through the people who </w:t>
      </w:r>
      <w:proofErr w:type="gramStart"/>
      <w:r>
        <w:t>actually helped</w:t>
      </w:r>
      <w:proofErr w:type="gramEnd"/>
      <w:r>
        <w:t xml:space="preserve"> build and sustain the work. One feature of both efforts is worth noting because it speaks to how change was organized Neither relied on school or district leadership acting </w:t>
      </w:r>
      <w:r>
        <w:rPr>
          <w:color w:val="808080"/>
        </w:rPr>
        <w:t>[00:07:00]</w:t>
      </w:r>
      <w:r>
        <w:t xml:space="preserve"> alone.</w:t>
      </w:r>
    </w:p>
    <w:p w14:paraId="2D29AF2D" w14:textId="77777777" w:rsidR="00885826" w:rsidRDefault="00174722">
      <w:pPr>
        <w:pStyle w:val="Script"/>
      </w:pPr>
      <w:r>
        <w:t>Both built durable partnerships across institutions and groups that had a stake in the work, including families, community organizations, universities, funders, public agencies, and teacher unions. In both places, the unions were part of the work itself, helping shape, support, and sustain change rather than operating separately from them.</w:t>
      </w:r>
    </w:p>
    <w:p w14:paraId="33320F04" w14:textId="77777777" w:rsidR="00885826" w:rsidRDefault="00174722">
      <w:pPr>
        <w:pStyle w:val="Script"/>
      </w:pPr>
      <w:r>
        <w:t xml:space="preserve">Both efforts benefited from sustained collaboration with teacher unions alongside other community institutional partners, and this broader alignment </w:t>
      </w:r>
      <w:r>
        <w:lastRenderedPageBreak/>
        <w:t xml:space="preserve">helped create the capacity and commitment needed to move difficult change forward. That matters because it shifts how we think about education change. It </w:t>
      </w:r>
      <w:proofErr w:type="spellStart"/>
      <w:r>
        <w:t>sh</w:t>
      </w:r>
      <w:proofErr w:type="spellEnd"/>
      <w:r>
        <w:t>- suggests that the unit of change is not simply a program or even an individual teacher.</w:t>
      </w:r>
    </w:p>
    <w:p w14:paraId="2276D2BD" w14:textId="77777777" w:rsidR="00885826" w:rsidRDefault="00174722">
      <w:pPr>
        <w:pStyle w:val="Script"/>
      </w:pPr>
      <w:r>
        <w:t xml:space="preserve">It is an ecology. And within that ecology, relationships matter, power matters, organizational capacity matters, culture matters, voice </w:t>
      </w:r>
      <w:r>
        <w:rPr>
          <w:color w:val="808080"/>
        </w:rPr>
        <w:t>[00:08:00]</w:t>
      </w:r>
      <w:r>
        <w:t xml:space="preserve"> matters, the way resources are coordinated matters, the way people respond when something does not work matters, and time matters. Eric Gordon, who led Cleveland's transformation, describes that tension beautifully. He talks about changes requiring both a sprint and a marathon, what he calls a kind of persistent urgency, acting quickly when young people need something now, while at the same time building the structures and cultures that can sustain improvement over many years.</w:t>
      </w:r>
    </w:p>
    <w:p w14:paraId="437F5EAC" w14:textId="77777777" w:rsidR="00885826" w:rsidRDefault="00174722">
      <w:pPr>
        <w:pStyle w:val="Script"/>
      </w:pPr>
      <w:r>
        <w:t>That is one of the tensions I want us to keep in mind throughout this episode. Young people are sitting in classrooms today. We cannot tell them the system will become supportive, equitable, engaging, academically powerful 10 years from now. At the same time, sustainable transformation does not happen in a semester.</w:t>
      </w:r>
    </w:p>
    <w:p w14:paraId="085FC74D" w14:textId="77777777" w:rsidR="00885826" w:rsidRDefault="00174722">
      <w:pPr>
        <w:pStyle w:val="Script"/>
      </w:pPr>
      <w:r>
        <w:t xml:space="preserve">That's one of the reasons I titled an article about Cleveland as Beyond Simple </w:t>
      </w:r>
      <w:r>
        <w:rPr>
          <w:color w:val="808080"/>
        </w:rPr>
        <w:t>[00:09:00]</w:t>
      </w:r>
      <w:r>
        <w:t xml:space="preserve"> Solutions. So how do you act with urgency without producing churn? How do you stay coherent without becoming rigid? How do leaders provide direction while also sharing power?</w:t>
      </w:r>
    </w:p>
    <w:p w14:paraId="5D6D8E24" w14:textId="77777777" w:rsidR="00885826" w:rsidRDefault="00174722">
      <w:pPr>
        <w:pStyle w:val="Script"/>
      </w:pPr>
      <w:r>
        <w:t xml:space="preserve">How do professionals bring expertise without substituting their judgment for the knowledge of students and families? How do you use evidence without </w:t>
      </w:r>
      <w:proofErr w:type="gramStart"/>
      <w:r>
        <w:t>assuming that</w:t>
      </w:r>
      <w:proofErr w:type="gramEnd"/>
      <w:r>
        <w:t xml:space="preserve"> something shown to work somewhere else can simply be transplanted?</w:t>
      </w:r>
    </w:p>
    <w:p w14:paraId="4EF2EB9F" w14:textId="77777777" w:rsidR="00885826" w:rsidRDefault="00174722">
      <w:pPr>
        <w:pStyle w:val="Script"/>
      </w:pPr>
      <w:r>
        <w:t xml:space="preserve">And how do you create enough organizational readiness that good ideas </w:t>
      </w:r>
      <w:proofErr w:type="gramStart"/>
      <w:r>
        <w:t>actually become</w:t>
      </w:r>
      <w:proofErr w:type="gramEnd"/>
      <w:r>
        <w:t xml:space="preserve"> good experiences for young people? Those questions take us directly </w:t>
      </w:r>
      <w:proofErr w:type="spellStart"/>
      <w:r>
        <w:t>i</w:t>
      </w:r>
      <w:proofErr w:type="spellEnd"/>
      <w:r>
        <w:t>- into the conversations in this episode. We'll hear first from the people who helped build and sustain those two very different efforts: Eric Gordon in Cleveland, Queena Kim f- at the UCLA Community School.</w:t>
      </w:r>
    </w:p>
    <w:p w14:paraId="584605DB" w14:textId="77777777" w:rsidR="00885826" w:rsidRDefault="00174722">
      <w:pPr>
        <w:pStyle w:val="Script"/>
      </w:pPr>
      <w:r>
        <w:t xml:space="preserve">We will also hear from Jillian Aarons about the role of teachers and organized labor in Cleveland, and from K- Karen Hunter-Cortz, who has studied and helped </w:t>
      </w:r>
      <w:r>
        <w:rPr>
          <w:color w:val="808080"/>
        </w:rPr>
        <w:t>[00:10:00]</w:t>
      </w:r>
      <w:r>
        <w:t xml:space="preserve"> develop the UCLA Community School from its beginnings, and from Vivian Gadsden, whose work on families, cultural learning, and the </w:t>
      </w:r>
      <w:r>
        <w:lastRenderedPageBreak/>
        <w:t>relationships between institutions and communities helps us look beneath organizational structures to the experiences of children and families themselves.</w:t>
      </w:r>
    </w:p>
    <w:p w14:paraId="115B8D42" w14:textId="77777777" w:rsidR="00885826" w:rsidRDefault="00174722">
      <w:pPr>
        <w:pStyle w:val="Script"/>
      </w:pPr>
      <w:r>
        <w:t>What I hope we can do is resist the temptation to turn either Cleveland or UCLA into a model that someone should copy. That is not the lesson</w:t>
      </w:r>
    </w:p>
    <w:p w14:paraId="0046E9A2" w14:textId="77777777" w:rsidR="00885826" w:rsidRDefault="00174722">
      <w:pPr>
        <w:pStyle w:val="Script"/>
      </w:pPr>
      <w:r>
        <w:t xml:space="preserve">The work will necessarily look different in different communities because context is different. What can travel are the strategic approaches, developing a coherent vision, understanding root causes, building capacity, engaging the young people whose lives are affected, connecting supports and learning, using evidence to improve, and having the persistence to keep doing the work </w:t>
      </w:r>
      <w:proofErr w:type="gramStart"/>
      <w:r>
        <w:t>over time</w:t>
      </w:r>
      <w:proofErr w:type="gramEnd"/>
      <w:r>
        <w:t>."</w:t>
      </w:r>
    </w:p>
    <w:p w14:paraId="3B7D985C" w14:textId="77777777" w:rsidR="00885826" w:rsidRDefault="00174722">
      <w:pPr>
        <w:pStyle w:val="Script"/>
      </w:pPr>
      <w:proofErr w:type="gramStart"/>
      <w:r>
        <w:t>So</w:t>
      </w:r>
      <w:proofErr w:type="gramEnd"/>
      <w:r>
        <w:t xml:space="preserve"> this episode is really about the movement from principles to practice, and from practice </w:t>
      </w:r>
      <w:r>
        <w:rPr>
          <w:color w:val="808080"/>
        </w:rPr>
        <w:t>[00:11:00]</w:t>
      </w:r>
      <w:r>
        <w:t xml:space="preserve"> to sustained change. Not what program should we adopt, but what are we trying to create? What </w:t>
      </w:r>
      <w:proofErr w:type="gramStart"/>
      <w:r>
        <w:t>has to</w:t>
      </w:r>
      <w:proofErr w:type="gramEnd"/>
      <w:r>
        <w:t xml:space="preserve"> be true for young people and adults to experience it?</w:t>
      </w:r>
    </w:p>
    <w:p w14:paraId="5C4AD737" w14:textId="77777777" w:rsidR="00885826" w:rsidRDefault="00174722">
      <w:pPr>
        <w:pStyle w:val="Script"/>
      </w:pPr>
      <w:r>
        <w:t xml:space="preserve">Who </w:t>
      </w:r>
      <w:proofErr w:type="gramStart"/>
      <w:r>
        <w:t>has to</w:t>
      </w:r>
      <w:proofErr w:type="gramEnd"/>
      <w:r>
        <w:t xml:space="preserve"> be part of building it? What capacities do we need? How will we know whether it is working, for whom, and under what conditions? And when is it not working, and how do we learn rather than blame? These are the questions that connect the work we have done in the first six episodes to where we are going now.</w:t>
      </w:r>
    </w:p>
    <w:p w14:paraId="3E2F4062" w14:textId="77777777" w:rsidR="00885826" w:rsidRDefault="00174722">
      <w:pPr>
        <w:pStyle w:val="Script"/>
      </w:pPr>
      <w:r>
        <w:t>But ultimately, creating schools in which young people learn deeply and thrive is not about finding one more answer. It is about developing the collective capacity to keep putting the right pieces together with young people, families, educators, and communities, and to keep making them work better.</w:t>
      </w:r>
    </w:p>
    <w:p w14:paraId="35C5BC8E" w14:textId="77777777" w:rsidR="00885826" w:rsidRDefault="00174722">
      <w:pPr>
        <w:pStyle w:val="Script"/>
      </w:pPr>
      <w:r>
        <w:t>And that is where we begin</w:t>
      </w:r>
    </w:p>
    <w:sectPr w:rsidR="00885826">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827212"/>
    <w:multiLevelType w:val="hybridMultilevel"/>
    <w:tmpl w:val="BA04B8DC"/>
    <w:lvl w:ilvl="0" w:tplc="4676AC62">
      <w:start w:val="1"/>
      <w:numFmt w:val="bullet"/>
      <w:lvlText w:val="●"/>
      <w:lvlJc w:val="left"/>
      <w:pPr>
        <w:ind w:left="720" w:hanging="360"/>
      </w:pPr>
    </w:lvl>
    <w:lvl w:ilvl="1" w:tplc="BF105E84">
      <w:start w:val="1"/>
      <w:numFmt w:val="bullet"/>
      <w:lvlText w:val="○"/>
      <w:lvlJc w:val="left"/>
      <w:pPr>
        <w:ind w:left="1440" w:hanging="360"/>
      </w:pPr>
    </w:lvl>
    <w:lvl w:ilvl="2" w:tplc="7F962414">
      <w:start w:val="1"/>
      <w:numFmt w:val="bullet"/>
      <w:lvlText w:val="■"/>
      <w:lvlJc w:val="left"/>
      <w:pPr>
        <w:ind w:left="2160" w:hanging="360"/>
      </w:pPr>
    </w:lvl>
    <w:lvl w:ilvl="3" w:tplc="561E0F8E">
      <w:start w:val="1"/>
      <w:numFmt w:val="bullet"/>
      <w:lvlText w:val="●"/>
      <w:lvlJc w:val="left"/>
      <w:pPr>
        <w:ind w:left="2880" w:hanging="360"/>
      </w:pPr>
    </w:lvl>
    <w:lvl w:ilvl="4" w:tplc="3F061932">
      <w:start w:val="1"/>
      <w:numFmt w:val="bullet"/>
      <w:lvlText w:val="○"/>
      <w:lvlJc w:val="left"/>
      <w:pPr>
        <w:ind w:left="3600" w:hanging="360"/>
      </w:pPr>
    </w:lvl>
    <w:lvl w:ilvl="5" w:tplc="D0EC7578">
      <w:start w:val="1"/>
      <w:numFmt w:val="bullet"/>
      <w:lvlText w:val="■"/>
      <w:lvlJc w:val="left"/>
      <w:pPr>
        <w:ind w:left="4320" w:hanging="360"/>
      </w:pPr>
    </w:lvl>
    <w:lvl w:ilvl="6" w:tplc="E68E5A06">
      <w:start w:val="1"/>
      <w:numFmt w:val="bullet"/>
      <w:lvlText w:val="●"/>
      <w:lvlJc w:val="left"/>
      <w:pPr>
        <w:ind w:left="5040" w:hanging="360"/>
      </w:pPr>
    </w:lvl>
    <w:lvl w:ilvl="7" w:tplc="0D167FC6">
      <w:start w:val="1"/>
      <w:numFmt w:val="bullet"/>
      <w:lvlText w:val="●"/>
      <w:lvlJc w:val="left"/>
      <w:pPr>
        <w:ind w:left="5760" w:hanging="360"/>
      </w:pPr>
    </w:lvl>
    <w:lvl w:ilvl="8" w:tplc="2E920CB4">
      <w:start w:val="1"/>
      <w:numFmt w:val="bullet"/>
      <w:lvlText w:val="●"/>
      <w:lvlJc w:val="left"/>
      <w:pPr>
        <w:ind w:left="6480" w:hanging="360"/>
      </w:pPr>
    </w:lvl>
  </w:abstractNum>
  <w:num w:numId="1" w16cid:durableId="33661280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826"/>
    <w:rsid w:val="00174722"/>
    <w:rsid w:val="00297926"/>
    <w:rsid w:val="00885826"/>
    <w:rsid w:val="00AF58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32623D0"/>
  <w15:docId w15:val="{B0102E7A-746B-9345-ADB1-07220E50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1915</Words>
  <Characters>9003</Characters>
  <Application>Microsoft Office Word</Application>
  <DocSecurity>0</DocSecurity>
  <Lines>160</Lines>
  <Paragraphs>44</Paragraphs>
  <ScaleCrop>false</ScaleCrop>
  <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Episode 7: Implementing The 16 Success Drivers and How They Can Be Holistically Enacted and Embodied in Schools and Across Learning Ecosystems. Introduction Part A - v.3</dc:title>
  <dc:creator>Un-named</dc:creator>
  <cp:lastModifiedBy>Richard Long</cp:lastModifiedBy>
  <cp:revision>2</cp:revision>
  <dcterms:created xsi:type="dcterms:W3CDTF">2026-09-16T14:13:00Z</dcterms:created>
  <dcterms:modified xsi:type="dcterms:W3CDTF">2026-09-16T14:13:00Z</dcterms:modified>
</cp:coreProperties>
</file>