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86F6B11" w14:textId="77777777" w:rsidR="000D6DE7" w:rsidRDefault="00A118B8">
      <w:pPr>
        <w:spacing w:after="280"/>
      </w:pPr>
      <w:r>
        <w:rPr>
          <w:rFonts w:ascii="Aptos" w:hAnsi="Aptos"/>
          <w:b/>
          <w:sz w:val="32"/>
        </w:rPr>
        <w:t>Disciplina, vivienda y los caminos que dan forma a la vida de los niños - Johnson, Parte B.</w:t>
      </w:r>
    </w:p>
    <w:p w14:paraId="656B6A7A" w14:textId="77777777" w:rsidR="000D6DE7" w:rsidRDefault="00A118B8">
      <w:pPr>
        <w:spacing w:after="160"/>
      </w:pPr>
      <w:r>
        <w:rPr>
          <w:rFonts w:ascii="Aptos" w:hAnsi="Aptos"/>
        </w:rPr>
        <w:t>[00:00:00]</w:t>
      </w:r>
    </w:p>
    <w:p w14:paraId="64E0BB89" w14:textId="77777777" w:rsidR="000D6DE7" w:rsidRDefault="00A118B8">
      <w:pPr>
        <w:spacing w:after="160"/>
      </w:pPr>
      <w:r>
        <w:rPr>
          <w:rFonts w:ascii="Aptos" w:hAnsi="Aptos"/>
        </w:rPr>
        <w:t>[00:00:16] David Osher: En nuestra primera conversación, Otis Johnson nos ayuda a comprender cómo la tecnología y las oportunidades en ciencia, tecnología, ingeniería y matemáticas (STEM) se ven influenciadas por los entornos que encuentran los estudiantes. En la segunda conversación, ampliamos la perspectiva para examinar cómo dos elementos clave de la ecología, la disciplina y la vivienda, influyen en las oportunidades y el desarrollo. Otis muestra cómo la disciplina escolar puede redirigir las trayectori</w:t>
      </w:r>
      <w:r>
        <w:rPr>
          <w:rFonts w:ascii="Aptos" w:hAnsi="Aptos"/>
        </w:rPr>
        <w:t>as de desarrollo de los jóvenes, incluyendo su acceso a las matemáticas, STEM, la universidad y las oportunidades futuras. También profundiza nuestra comprensión del potencial de la movilidad residencial. Mudarse a un nuevo barrio o escuela puede generar oportunidades, pero [00:01:00] solo cuando los estudiantes y las familias reciben apoyo mientras se adaptan a nuevas relaciones, expectativas y rutinas institucionales. Esta conversación trata sobre cómo se configuran las trayectorias y cómo pueden ser reco</w:t>
      </w:r>
      <w:r>
        <w:rPr>
          <w:rFonts w:ascii="Aptos" w:hAnsi="Aptos"/>
        </w:rPr>
        <w:t>nfiguradas.</w:t>
      </w:r>
    </w:p>
    <w:p w14:paraId="1C876238" w14:textId="77777777" w:rsidR="000D6DE7" w:rsidRDefault="00A118B8">
      <w:pPr>
        <w:spacing w:after="160"/>
      </w:pPr>
      <w:r>
        <w:rPr>
          <w:rFonts w:ascii="Aptos" w:hAnsi="Aptos"/>
        </w:rPr>
        <w:t>[00:01:21] David Osher: Otis, en nuestra conversación anterior, hablamos sobre la equidad en STEM, la vigilancia, la disciplina escolar y cómo las oportunidades educativas se ven influenciadas por los entornos en los que se encuentran los jóvenes. Desde entonces, he estado pensando en tu trabajo a lo largo del tiempo, del que he aprendido tanto, y cómo en última instancia plantea una serie de preguntas más profundas que incluyen qué tipo de condiciones ayudan a los jóvenes a mantenerse conectados en la escu</w:t>
      </w:r>
      <w:r>
        <w:rPr>
          <w:rFonts w:ascii="Aptos" w:hAnsi="Aptos"/>
        </w:rPr>
        <w:t>ela, a seguir trayectorias de desarrollo positivas y a tener oportunidades que les permitan prosperar. Me gustaría que exploraras esas preguntas a través de tu trabajo anterior [00:02:00] sobre la suspensión y sobre la vivienda y STEM, y que las desarrollaras en términos de tu trabajo más reciente que conecta esas diferentes piezas.</w:t>
      </w:r>
    </w:p>
    <w:p w14:paraId="10CFC3F5" w14:textId="77777777" w:rsidR="000D6DE7" w:rsidRDefault="00A118B8">
      <w:pPr>
        <w:spacing w:after="160"/>
      </w:pPr>
      <w:r>
        <w:rPr>
          <w:rFonts w:ascii="Aptos" w:hAnsi="Aptos"/>
        </w:rPr>
        <w:t xml:space="preserve">[00:02:09] Otis Johnson: Yo era un chico del centro de Kansas City, en el lado de Misuri. Sé que algunas personas piensan que hay un Kansas City, Kansas. Sí, existe, pero no es el que yo viví. Eh, y yo estaba en escuelas de bajo rendimiento. Creo que reprobé un grado anterior. Puede que en ese entonces lo llamaran repetición, pero recuerdo claramente que había diferencias entre mi entorno urbano inicial y la escuela a la que terminé mudándome más a los suburbios. Seguía siendo Kansas City, Misuri, pero aun </w:t>
      </w:r>
      <w:r>
        <w:rPr>
          <w:rFonts w:ascii="Aptos" w:hAnsi="Aptos"/>
        </w:rPr>
        <w:t>así, un sistema escolar diferente. Y en ese momento, estaba muy claro que mi preparación en mi entorno escolar anterior [00:03:00] no estaba a la altura. No me permitía prosperar en mi nuevo contexto escolar. Siempre he sido sensible a esta cuestión sobre la estructura más amplia de oportunidades, ya sea en la vivienda, en las instituciones y agencias policiales o penitenciarias, o en las iniciativas de reurbanización urbana y la vivienda que estructura las oportunidades de las personas para aprender y tene</w:t>
      </w:r>
      <w:r>
        <w:rPr>
          <w:rFonts w:ascii="Aptos" w:hAnsi="Aptos"/>
        </w:rPr>
        <w:t>r éxito en la escuela. Y, por supuesto, la escuela es otro contexto en el que los recursos, las políticas y el compromiso de las personas con los jóvenes influyen en las oportunidades educativas y el aprendizaje. Así que ha sido una inversión de toda mi vida comprender un ecosistema comunitario más amplio sobre cómo llegamos a lo que llamamos desigualdad educativa, cómo llegamos a situaciones como el ciclo que lleva de la escuela a la prisión y, en última instancia, a oportunidades muy diferentes en los res</w:t>
      </w:r>
      <w:r>
        <w:rPr>
          <w:rFonts w:ascii="Aptos" w:hAnsi="Aptos"/>
        </w:rPr>
        <w:t>ultados de la vida.</w:t>
      </w:r>
    </w:p>
    <w:p w14:paraId="0D9D37AB" w14:textId="77777777" w:rsidR="000D6DE7" w:rsidRDefault="00A118B8">
      <w:pPr>
        <w:spacing w:after="160"/>
      </w:pPr>
      <w:r>
        <w:rPr>
          <w:rFonts w:ascii="Aptos" w:hAnsi="Aptos"/>
        </w:rPr>
        <w:lastRenderedPageBreak/>
        <w:t>[00:04:15] David Osher: Mientras continuamos nuestra conversación de hoy, invito a los oyentes a seguir reflexionando sobre la ecología en general, aunque seleccionaremos diferentes componentes que interactúan entre sí, pero los exploraremos con mayor profundidad. Y voy a comenzar con lo que he considerado uno de los hallazgos más provocativos de su trabajo con respecto a las consecuencias de la disciplina, que es cómo se manifiesta en ámbitos que muchas personas no consideran: el rendimiento en matemáticas</w:t>
      </w:r>
      <w:r>
        <w:rPr>
          <w:rFonts w:ascii="Aptos" w:hAnsi="Aptos"/>
        </w:rPr>
        <w:t>, los cursos avanzados, las trayectorias STEM y la asistencia y permanencia académica en la universidad.</w:t>
      </w:r>
    </w:p>
    <w:p w14:paraId="636D4E4C" w14:textId="77777777" w:rsidR="000D6DE7" w:rsidRDefault="00A118B8">
      <w:pPr>
        <w:spacing w:after="160"/>
      </w:pPr>
      <w:r>
        <w:rPr>
          <w:rFonts w:ascii="Aptos" w:hAnsi="Aptos"/>
        </w:rPr>
        <w:t xml:space="preserve">[00:04:57] Otis Johnson: Sí, esas son [00:05:00] áreas lamentablemente poco investigadas, y sé que eso es algo que la gente siempre dice, ¿verdad? Los investigadores siempre hablan de una falta de datos o de alguna pregunta importante que aún no se ha formulado. Pero en este caso, tenemos muchos datos, muchos análisis sobre el impacto de la disciplina y la presencia de disparidades disciplinarias, diferencias raciales, de género y de clase socioeconómica en la probabilidad de ser suspendido y el impacto de </w:t>
      </w:r>
      <w:r>
        <w:rPr>
          <w:rFonts w:ascii="Aptos" w:hAnsi="Aptos"/>
        </w:rPr>
        <w:t>esas suspensiones. Lo que me intrigaba, y esto fue hace mucho tiempo, supongo que hace 10 años no es mucho tiempo, pero se siente así cuando llevas investigando la misma pregunta durante más de una década, era la posible interacción entre el camino de la escuela a la prisión y el camino STEM, y tratar de [00:06:00] comprender cómo coexistían ambas estructuras de oportunidades dentro de las escuelas. Y de nuevo, al principio fue una curiosidad hasta que quedó muy claro que esos mismos niños que están sobrerr</w:t>
      </w:r>
      <w:r>
        <w:rPr>
          <w:rFonts w:ascii="Aptos" w:hAnsi="Aptos"/>
        </w:rPr>
        <w:t xml:space="preserve">epresentados en el ciclo de la escuela a la prisión son los que tienen menos probabilidades de estar en el ciclo STEM. Así que me llevó a pensar que tal vez llenar ese ciclo STEM, que es algo que el desarrollo de la fuerza laboral, el nuevo régimen de IA, simplemente la era digital estaba exigiendo a nuestras escuelas, si estuviera condicionado a que primero vaciáramos ese ciclo de la escuela a la prisión. Así que presenté esa idea a la Fundación Nacional de Ciencias, y prácticamente comenzó mi relación de </w:t>
      </w:r>
      <w:r>
        <w:rPr>
          <w:rFonts w:ascii="Aptos" w:hAnsi="Aptos"/>
        </w:rPr>
        <w:t xml:space="preserve">toda la carrera con esa agencia, porque entendieron y de hecho [00:07:00] fueron educados a través del trabajo que hice para entender que el control social o la forma en que buscamos establecer orden dentro de las escuelas y los comportamientos que interpretamos a través de esa lente, ya sea mal comportamiento o buen comportamiento u otras etiquetas que tendemos a aplicar a los niños, terminan determinando el potencial de los niños para ingresar a campos STEM, tener éxito en matemáticas, obtener títulos en </w:t>
      </w:r>
      <w:r>
        <w:rPr>
          <w:rFonts w:ascii="Aptos" w:hAnsi="Aptos"/>
        </w:rPr>
        <w:t>áreas STEM y eventualmente unirse a la fuerza laboral. Así que esa era, en cierto modo, la pregunta más importante. Es un buen ejemplo de cómo una pregunta más amplia llega a informar áreas de investigación muy particulares y también problemas clave de política social. Por supuesto, el exceso de disciplina y de suspensiones [00:08:00] llevó a los sistemas escolares de todo el país a emitir moratorias sobre las suspensiones. La administración Obama también emitió directrices a las escuelas para frenar el uso</w:t>
      </w:r>
      <w:r>
        <w:rPr>
          <w:rFonts w:ascii="Aptos" w:hAnsi="Aptos"/>
        </w:rPr>
        <w:t xml:space="preserve"> de suspensiones, especialmente para faltas realmente subjetivas como la desobediencia deliberada o la interrupción de un entorno de instrucción. Estas son, lamento decirlo, discutibles, pero por supuesto, a veces la falta no merece el riesgo que corren los niños cuando los excluimos de la instrucción que es importante para su éxito.</w:t>
      </w:r>
    </w:p>
    <w:p w14:paraId="736195C5" w14:textId="77777777" w:rsidR="000D6DE7" w:rsidRDefault="00A118B8">
      <w:pPr>
        <w:spacing w:after="160"/>
      </w:pPr>
      <w:r>
        <w:rPr>
          <w:rFonts w:ascii="Aptos" w:hAnsi="Aptos"/>
        </w:rPr>
        <w:t>[00:08:40] David Osher: Y esos también son delitos para los que no hay un referente concreto. Y por lo tanto, realmente desestabiliza las posibilidades de que entre el sesgo.</w:t>
      </w:r>
    </w:p>
    <w:p w14:paraId="01BB9072" w14:textId="77777777" w:rsidR="000D6DE7" w:rsidRDefault="00A118B8">
      <w:pPr>
        <w:spacing w:after="160"/>
      </w:pPr>
      <w:r>
        <w:rPr>
          <w:rFonts w:ascii="Aptos" w:hAnsi="Aptos"/>
        </w:rPr>
        <w:t xml:space="preserve">[00:08:57] Otis Johnson: El sesgo es una de esas [00:09:00] áreas donde el interés en el racismo sistémico y estructural como mecanismo dentro de esta cuestión más amplia de por qué se suspende a más niños de color es realmente... es un punto realmente importante. Pero también quiero sugerir que </w:t>
      </w:r>
      <w:r>
        <w:rPr>
          <w:rFonts w:ascii="Aptos" w:hAnsi="Aptos"/>
        </w:rPr>
        <w:lastRenderedPageBreak/>
        <w:t>la suspensión excesiva es realmente dinámica. Hay más que solo racismo sistémico y estructural, aunque tiende a manifestarse en disparidades racializadas. Por un lado, está la adultificación, esta creencia de que de alguna manera los niños afroamericanos o latinos de alguna manera parecen mayores o más desinteresados en la escuela y son más propensos a portarse mal, y son estereotipados de esa manera, por lo que la disciplina en realidad es más alta y el... con un mayor impacto negativo en [00:10:00] su apr</w:t>
      </w:r>
      <w:r>
        <w:rPr>
          <w:rFonts w:ascii="Aptos" w:hAnsi="Aptos"/>
        </w:rPr>
        <w:t>endizaje. Ahí vemos, y esto se debe al trabajo de muchas personas, que las fuerzas del orden creen que estos niños son mayores de lo que realmente son, y es esa creencia de que los niños no actúan como lo que llamaríamos un comportamiento normativo infantil y adolescente lo que provoca su suspensión. Entonces, lo que sugiero aquí es que, sí, es raza y etnia, por supuesto, pero también es la forma en que funciona, ¿verdad? Y la forma en que funciona en este caso es la adultificación. Podemos seguir por la lí</w:t>
      </w:r>
      <w:r>
        <w:rPr>
          <w:rFonts w:ascii="Aptos" w:hAnsi="Aptos"/>
        </w:rPr>
        <w:t>nea a través de otros mecanismos potenciales como la interseccionalidad como una forma de raza y género en la que esto sucede. También podríamos hablar de la clase social, así que no se trata solo de raza. Se trata de cómo los niños que están en entornos, escuelas y vecindarios de bajos ingresos tienden a ser vigilados [00:11:00] más. Y entonces todas estas cosas, una vez más, sugieren que se necesita un marco más amplio. No puede ser solo un análisis basado en la escuela. No puede ser solo un análisis basa</w:t>
      </w:r>
      <w:r>
        <w:rPr>
          <w:rFonts w:ascii="Aptos" w:hAnsi="Aptos"/>
        </w:rPr>
        <w:t>do en lo académico. Tiene que ser un análisis social-</w:t>
      </w:r>
    </w:p>
    <w:p w14:paraId="13A10BDB" w14:textId="77777777" w:rsidR="000D6DE7" w:rsidRDefault="00A118B8">
      <w:pPr>
        <w:spacing w:after="160"/>
      </w:pPr>
      <w:r>
        <w:rPr>
          <w:rFonts w:ascii="Aptos" w:hAnsi="Aptos"/>
        </w:rPr>
        <w:t>[00:11:18] David Osher: Sí...</w:t>
      </w:r>
    </w:p>
    <w:p w14:paraId="24508B02" w14:textId="77777777" w:rsidR="000D6DE7" w:rsidRDefault="00A118B8">
      <w:pPr>
        <w:spacing w:after="160"/>
      </w:pPr>
      <w:r>
        <w:rPr>
          <w:rFonts w:ascii="Aptos" w:hAnsi="Aptos"/>
        </w:rPr>
        <w:t>[00:11:19] Otis Johnson: análisis, un análisis cultural, y definitivamente uno que entiende a los actores escolares y su comportamiento tanto como busca entender los comportamientos de los niños.</w:t>
      </w:r>
    </w:p>
    <w:p w14:paraId="40F189EB" w14:textId="77777777" w:rsidR="000D6DE7" w:rsidRDefault="00A118B8">
      <w:pPr>
        <w:spacing w:after="160"/>
      </w:pPr>
      <w:r>
        <w:rPr>
          <w:rFonts w:ascii="Aptos" w:hAnsi="Aptos"/>
        </w:rPr>
        <w:t>[00:11:30] David Osher: Sí, creo que tienes mucha razón en esa observación. Cuando me pidieron que dirigiera un equipo para escribir un capítulo del manual sobre gestión escolar sobre el origen del ciclo de la escuela a la prisión dentro del aula, lo que intenté... Lo hicimos, pero, pero ubicamos el aula dentro de la escuela, dentro de una comunidad que tiene una historia de [00:12:00] los impactos de la segregación racial tal como se desarrolló en lugares como Kansas City, Kansas, Missouri, e incluso los s</w:t>
      </w:r>
      <w:r>
        <w:rPr>
          <w:rFonts w:ascii="Aptos" w:hAnsi="Aptos"/>
        </w:rPr>
        <w:t>uburbios de Kansas City, Missouri. Y cómo esos combinados con un conjunto de motivos culturales continuos que terminan siendo recreados y ligeramente modificados se unen en la tormenta perfecta en un aula donde un maestro que no está preparado y está sobrecargado de estrés terminará interactuando con jóvenes a quienes bien podría ver de manera diferente porque son, para usar el lenguaje de Lisa Delpit, hijos de otras personas, y a diferencia de nuestros hijos, que son niños y no merecen ser adultificados má</w:t>
      </w:r>
      <w:r>
        <w:rPr>
          <w:rFonts w:ascii="Aptos" w:hAnsi="Aptos"/>
        </w:rPr>
        <w:t>s allá de que deben ser tratados como seres sensibles que pueden ser participantes activos. Y que yo, yo fui más de lo que debería, así que invito a sus comentarios.</w:t>
      </w:r>
    </w:p>
    <w:p w14:paraId="0D44CD13" w14:textId="77777777" w:rsidR="000D6DE7" w:rsidRDefault="00A118B8">
      <w:pPr>
        <w:spacing w:after="160"/>
      </w:pPr>
      <w:r>
        <w:rPr>
          <w:rFonts w:ascii="Aptos" w:hAnsi="Aptos"/>
        </w:rPr>
        <w:t>[00:12:59] Otis Johnson: [00:13:00] Eso es exactamente correcto. Yo, podría decirlo de manera muy diferente cada vez que se hace la pregunta porque hay muchas maneras en que se ve a los niños o se interpreta su comportamiento que llevan a estas disparidades, cuando en realidad lo que necesitamos son maestros mejor capacitados. Necesitamos maestros con mejores recursos y apoyo. Gran parte de nuestro trabajo en el Centro para Escuelas Seguras y Saludables ha buscado abordar la alta tasa de derivación de maest</w:t>
      </w:r>
      <w:r>
        <w:rPr>
          <w:rFonts w:ascii="Aptos" w:hAnsi="Aptos"/>
        </w:rPr>
        <w:t xml:space="preserve">ros al comienzo de su carrera, por ejemplo. Entonces, cuando queremos socavar o revertir... No quiero decir revertir. Permítanme decirlo de esta manera. Cuando queremos cambiar el comportamiento de los maestros para asegurarnos de que los niños tengan la oportunidad de aprender, entonces tenemos que abordar el hecho de que ven a los niños [00:14:00] de manera diferente a simplemente niños maravillosos, individuos maravillosos con un potencial ilimitado, ¿verdad? Estas </w:t>
      </w:r>
      <w:r>
        <w:rPr>
          <w:rFonts w:ascii="Aptos" w:hAnsi="Aptos"/>
        </w:rPr>
        <w:lastRenderedPageBreak/>
        <w:t>cosas nos gusta pensar como ciertas par</w:t>
      </w:r>
      <w:r>
        <w:rPr>
          <w:rFonts w:ascii="Aptos" w:hAnsi="Aptos"/>
        </w:rPr>
        <w:t>a los niños, y a menudo respaldaremos estas metanarrativas sobre que todos los niños pueden aprender. Pero luego, cuando están en tu aula y vienen de una comunidad diferente a la tuya, entonces se necesitan algunas habilidades, alguna capacitación, algunos recursos que puedan guiar la interacción de los maestros con esos niños de manera productiva. No se puede dejar en esta creencia de que todos vamos a hacer lo mejor que podamos porque los niños son nuestro futuro. Sí. Y aunque estoy de acuerdo con eso, sé</w:t>
      </w:r>
      <w:r>
        <w:rPr>
          <w:rFonts w:ascii="Aptos" w:hAnsi="Aptos"/>
        </w:rPr>
        <w:t xml:space="preserve"> que así no es como funciona la práctica docente. La práctica docente funciona mejor cuando está organizada, cuando está apoyada, cuando hay una comunidad profesional y [00:15:00] una base académica, basada en evidencia, tal vez mejor que la base académica, pero basada en evidencia detrás de las cosas que suceden en las escuelas. Y entonces es donde entra esta conexión con la disciplina, que encontramos que los maestros que están menos preparados, menos experimentados son los que más infractores en lo que s</w:t>
      </w:r>
      <w:r>
        <w:rPr>
          <w:rFonts w:ascii="Aptos" w:hAnsi="Aptos"/>
        </w:rPr>
        <w:t>e refiere a las remisiones de niños por mal comportamiento, y también incidentalmente, niños de color. Sí.</w:t>
      </w:r>
    </w:p>
    <w:p w14:paraId="237BF712" w14:textId="77777777" w:rsidR="000D6DE7" w:rsidRDefault="00A118B8">
      <w:pPr>
        <w:spacing w:after="160"/>
      </w:pPr>
      <w:r>
        <w:rPr>
          <w:rFonts w:ascii="Aptos" w:hAnsi="Aptos"/>
        </w:rPr>
        <w:t>[00:15:29] David Osher: Un colega de Johns Hopkins, ahora emérito, Shep Kellum, junto con otros en la investigación del Juego del Buen Comportamiento, cuando observaron las aulas de primer grado y estudiaron el comportamiento de los maestros, y no lo observaron con la riqueza que creo que merece, que usted está describiendo ahora mismo. Pero pudieron observar si un maestro podía o no apoyar el comportamiento en un aula. Y notaron, no solo que [00:16:00] vieron la diferencia, sino que demostraron empíricamen</w:t>
      </w:r>
      <w:r>
        <w:rPr>
          <w:rFonts w:ascii="Aptos" w:hAnsi="Aptos"/>
        </w:rPr>
        <w:t>te cómo eso se manifestaba en las tasas de suspensión en sexto y séptimo grado, y en términos de los estudios longitudinales que son resultados del Juego del Buen Comportamiento, pero también lo que sucede cuando no se hace. La consecuencia a largo plazo de cuando se ha emparejado a un maestro que no está preparado ni apoyado adecuadamente para satisfacer sus necesidades. Permítame pasar a otra área que abarca su trabajo, y nuevamente, donde usted establece conexiones que otras personas a veces simplifican,</w:t>
      </w:r>
      <w:r>
        <w:rPr>
          <w:rFonts w:ascii="Aptos" w:hAnsi="Aptos"/>
        </w:rPr>
        <w:t xml:space="preserve"> y estoy pensando aquí en los estudios de vivienda, donde me gustaría que hablara de ello, pero solo para introducir el tema, algunas personas ven los estudios de elección de vivienda y vales como una demostración del poder o la falta de poder de la elección de vivienda por sí sola. [00:17:00] Y creo que su trabajo nos permite comprender que hay mucho más en juego. Así que lo invito a que describa su trabajo, así como los hallazgos.</w:t>
      </w:r>
    </w:p>
    <w:p w14:paraId="65C2249C" w14:textId="77777777" w:rsidR="000D6DE7" w:rsidRDefault="00A118B8">
      <w:pPr>
        <w:spacing w:after="160"/>
      </w:pPr>
      <w:r>
        <w:rPr>
          <w:rFonts w:ascii="Aptos" w:hAnsi="Aptos"/>
        </w:rPr>
        <w:t>[00:17:10] Otis Johnson: El vecindario y las oportunidades de vivienda fueron una de las primeras áreas que investigué. Terminé haciendo una disertación que fue una síntesis estadística de la investigación sobre los efectos del vecindario en la educación. Y de ahora en adelante, quedó claro que estas demostraciones de movilidad de vivienda, ya fuera Gautreaux, MTO, Yonkers u otras ciudades, estaban probando una hipótesis, un modelo que de alguna manera si se traslada a las personas a excelentes vecindarios,</w:t>
      </w:r>
      <w:r>
        <w:rPr>
          <w:rFonts w:ascii="Aptos" w:hAnsi="Aptos"/>
        </w:rPr>
        <w:t xml:space="preserve"> todo lo demás encaja, incluyendo tal vez la escuela, su calidad podría ser, eh, mejor, y lo pongo entre comillas, dentro de estos vecindarios con mayores recursos. Y entonces esperaríamos que esas [00:18:00] escuelas serían excelentes lugares para que esos niños aprendieran, y que tendrían excelentes resultados porque están en estos nuevos vecindarios con buenas escuelas. Pero quedó claro a través de estas demostraciones que esa no era la forma en que los vecindarios estaban funcionando, ni las escuelas en</w:t>
      </w:r>
      <w:r>
        <w:rPr>
          <w:rFonts w:ascii="Aptos" w:hAnsi="Aptos"/>
        </w:rPr>
        <w:t xml:space="preserve"> esos vecindarios estaban recibiendo niños y educándolos al nivel que nos gustaría ver o que habíamos especulado que lo harían. Y para los niños, cuando se mudan, es una experiencia bastante disruptiva. Tal vez dejan atrás a otros niños. Tal vez dejan atrás relaciones, eh, con maestros que al menos eran relaciones familiares. Y luego se unen a un nuevo contexto con nuevos niños y nuevos maestros, y simplemente nuevos entornos y sistemas sociales para aprender. Así que </w:t>
      </w:r>
      <w:r>
        <w:rPr>
          <w:rFonts w:ascii="Aptos" w:hAnsi="Aptos"/>
        </w:rPr>
        <w:lastRenderedPageBreak/>
        <w:t>mudarse tiene un costo. Además, [00:19:</w:t>
      </w:r>
      <w:r>
        <w:rPr>
          <w:rFonts w:ascii="Aptos" w:hAnsi="Aptos"/>
        </w:rPr>
        <w:t>00] la pregunta entonces, ¿es la movilidad el camino correcto? ¿Deberíamos intentar trasladar a las personas hacia oportunidades? Y creo que Chetty y su trabajo ahora sugieren que si tienes la oportunidad, tienes la oportunidad de mudarte de un barrio de alta pobreza, deberías hacerlo a los trece o catorce años porque es en ese momento que podemos ver mejores resultados más adelante en la vida. Aunque tal vez no en la educación. Esa es la única salvedad porque esos resultados para los niños dentro de las es</w:t>
      </w:r>
      <w:r>
        <w:rPr>
          <w:rFonts w:ascii="Aptos" w:hAnsi="Aptos"/>
        </w:rPr>
        <w:t>cuelas a las que se transfieren generalmente no son mejores que el logro de los niños que se quedaron en esas escuelas. Nuestro nuevo estudio, que analiza la Iniciativa de Vecindarios de Elección del HUD, Departamento de Vivienda y Desarrollo Urbano de los Estados Unidos, presenta una situación realmente interesante porque [00:20:00] podemos seguir a los niños que abandonan estas comunidades de viviendas sociales de gran altura para trasladarse a zonas de menor pobreza mediante un vale. Mientras están fuera</w:t>
      </w:r>
      <w:r>
        <w:rPr>
          <w:rFonts w:ascii="Aptos" w:hAnsi="Aptos"/>
        </w:rPr>
        <w:t>, sus comunidades de vivienda se reurbanizan y se transforman en barrios de ingresos mixtos. Tres años después, se les ofrece la oportunidad de regresar. Contamos con datos de Memphis, Baltimore y San Luis, las ciudades iniciales de la Iniciativa de Vecindarios de Elección. Nuestros análisis se realizaron para las dos primeras ciudades. La principal conclusión de estos análisis es que la movilidad residencial funciona, al menos para los niños, cuando tienen acceso a servicios en la escuela de destino. [00:2</w:t>
      </w:r>
      <w:r>
        <w:rPr>
          <w:rFonts w:ascii="Aptos" w:hAnsi="Aptos"/>
        </w:rPr>
        <w:t>1:00] Observamos, a través de la gestión de casos, que podría ser beneficioso para los niños aprovechar esta opción. Y de nuevo, más adelante, tal vez regresen a su entorno inicial y lo encuentren con mayores niveles de inversión y residencia de ingresos mixtos. Lo que quiero señalar aquí, que creo que es fundamental, es que la mayoría de las veces, en la mayoría de estos programas de desarrollo urbano o movilidad, la experiencia que los niños tienen, o es más probable que tengan, cuando se mudan es la disc</w:t>
      </w:r>
      <w:r>
        <w:rPr>
          <w:rFonts w:ascii="Aptos" w:hAnsi="Aptos"/>
        </w:rPr>
        <w:t>iplina. Se mudan a lugares con mayores oportunidades, pero una vez que llegan a esos lugares con mayores oportunidades, los regímenes disciplinarios funcionan de tal manera que [00:22:00] tienen una experiencia cualitativamente muy diferente en esas escuelas que los niños que estaban allí antes de la transferencia. Entonces, la disciplina fue, una vez más, esta experiencia clave que hizo menos probable que los niños pudieran convertir esa oportunidad residencial en éxito educativo. Y entonces nuestra pregun</w:t>
      </w:r>
      <w:r>
        <w:rPr>
          <w:rFonts w:ascii="Aptos" w:hAnsi="Aptos"/>
        </w:rPr>
        <w:t>ta era realmente si los servicios integrales pueden restaurar el capital social, asegurar que existan redes y conexiones para facilitar la transición de los niños y que los maestros y los actores escolares actúen en su nombre para asegurar que realmente tengan una transición exitosa. Y con ese tipo de intencionalidad, [00:23:00] ¿cuáles podrían ser los resultados en materia de disciplina? Y esa es la pregunta, y hemos descubierto efectos positivos de la gestión de casos.</w:t>
      </w:r>
    </w:p>
    <w:p w14:paraId="640361EA" w14:textId="77777777" w:rsidR="000D6DE7" w:rsidRDefault="00A118B8">
      <w:pPr>
        <w:spacing w:after="160"/>
      </w:pPr>
      <w:r>
        <w:rPr>
          <w:rFonts w:ascii="Aptos" w:hAnsi="Aptos"/>
        </w:rPr>
        <w:t>[00:23:08] David Osher: ¿Puede describir las cualidades de los apoyos integrales efectivos y la coordinación de la atención o la gestión de casos que está describiendo?</w:t>
      </w:r>
    </w:p>
    <w:p w14:paraId="70D047C3" w14:textId="77777777" w:rsidR="000D6DE7" w:rsidRDefault="00A118B8">
      <w:pPr>
        <w:spacing w:after="160"/>
      </w:pPr>
      <w:r>
        <w:rPr>
          <w:rFonts w:ascii="Aptos" w:hAnsi="Aptos"/>
        </w:rPr>
        <w:t>[00:23:26] Otis Johnson: Claro. La gestión de casos la proporciona una organización llamada Urban Strategies. El condado de Memphis, en este caso el condado de Shelby, decidió asignar una cantidad específica de fondos a cuatro escuelas, a cuatro niños que estaban en transición a esas escuelas, para que recibieran servicios de apoyo. Estos servicios de apoyo eran solo para esos niños. No eran... [00:24:00] Esos servicios no eran para todos en esas escuelas, solo para los niños que llegaban. Los gestores de c</w:t>
      </w:r>
      <w:r>
        <w:rPr>
          <w:rFonts w:ascii="Aptos" w:hAnsi="Aptos"/>
        </w:rPr>
        <w:t xml:space="preserve">asos se aseguraban de que los niños estuvieran al tanto de las oportunidades curriculares. Establecían conexiones entre maestros y padres. Se aseguraban de que las familias de bajos ingresos tuvieran acceso a la información y las redes que los padres de clase media y alta solían tener para guiar sus decisiones. Una vez en las escuelas, había servicios de apoyo o servicios, una vez </w:t>
      </w:r>
      <w:r>
        <w:rPr>
          <w:rFonts w:ascii="Aptos" w:hAnsi="Aptos"/>
        </w:rPr>
        <w:lastRenderedPageBreak/>
        <w:t xml:space="preserve">más, solo para esos niños para asegurar que, eh, su bienestar socioemocional fuera abordado, eh, que si había algunos problemas </w:t>
      </w:r>
      <w:r>
        <w:rPr>
          <w:rFonts w:ascii="Aptos" w:hAnsi="Aptos"/>
        </w:rPr>
        <w:t>de adaptación académica, había recursos y opciones disponibles para ellos. En general, creo que condicionaba a los maestros a pensar en estos problemas como algo que se puede resolver con recursos [00:25:00] en lugar de con disciplina. Entonces en este caso, habrías disminuido el uso de suspensiones fuera de la escuela y dentro de la escuela. Con suerte, estamos investigando esto, pero aún no hemos establecido que la asignación o reasignación de educación especial, los IEP y la repetición de grado también s</w:t>
      </w:r>
      <w:r>
        <w:rPr>
          <w:rFonts w:ascii="Aptos" w:hAnsi="Aptos"/>
        </w:rPr>
        <w:t xml:space="preserve">e usaron menos. Y entonces estamos pensando que esas formas similares al castigo son maneras en que las personas llegan a estas nuevas escuelas pensando que van a tener una gran experiencia educativa, y luego tristemente descubren que van a ser dirigidos a diferentes programas como educación especial y demás, lo que no les brinda la experiencia educativa máxima. Estas son solo algunas de las formas en que se prestaron los servicios de gestión y algunos de los resultados que esperamos examinar, además de la </w:t>
      </w:r>
      <w:r>
        <w:rPr>
          <w:rFonts w:ascii="Aptos" w:hAnsi="Aptos"/>
        </w:rPr>
        <w:t>disciplina en sí.</w:t>
      </w:r>
    </w:p>
    <w:p w14:paraId="015E0A6A" w14:textId="77777777" w:rsidR="000D6DE7" w:rsidRDefault="00A118B8">
      <w:pPr>
        <w:spacing w:after="160"/>
      </w:pPr>
      <w:r>
        <w:rPr>
          <w:rFonts w:ascii="Aptos" w:hAnsi="Aptos"/>
        </w:rPr>
        <w:t>[00:25:57] David Osher: Una de las [00:26:00] cosas que observé en su trabajo anterior sobre las iniciativas de elección fue el hecho de que cuando se observaron longitudinalmente los efectos positivos de los entornos cambiantes, que también se relacionan con los apoyos de los que está hablando, que acaba de analizar, los efectos más duraderos a lo largo del tiempo se dieron en la suspensión en lugar de directamente en el rendimiento académico. Entonces, si pudiera explicar el sentido que le da a esos halla</w:t>
      </w:r>
      <w:r>
        <w:rPr>
          <w:rFonts w:ascii="Aptos" w:hAnsi="Aptos"/>
        </w:rPr>
        <w:t>zgos.</w:t>
      </w:r>
    </w:p>
    <w:p w14:paraId="0FC240AE" w14:textId="77777777" w:rsidR="000D6DE7" w:rsidRDefault="00A118B8">
      <w:pPr>
        <w:spacing w:after="160"/>
      </w:pPr>
      <w:r>
        <w:rPr>
          <w:rFonts w:ascii="Aptos" w:hAnsi="Aptos"/>
        </w:rPr>
        <w:t>[00:26:42] Otis Johnson: Sí. El impacto, lo analizamos considerando las diferencias de edad. Sabemos que trabajos anteriores sugerían que esto era mejor para los niños más pequeños. Creo que el trabajo de Chetty también lo sugiere. Pero estábamos más interesados en si el impacto de la gestión de casos era duradero. En nuestro análisis, teníamos una línea de base, pero luego, analizamos un año y dos años o más, y en la mayoría de los casos encontramos que las tasas más bajas de OSS (suspensión fuera de la es</w:t>
      </w:r>
      <w:r>
        <w:rPr>
          <w:rFonts w:ascii="Aptos" w:hAnsi="Aptos"/>
        </w:rPr>
        <w:t>cuela) eran duraderas. Pero no uniformes en el impacto, ¿verdad? En este caso, las niñas tenían definitivamente más probabilidades de mantener tasas más bajas de suspensión fuera de la escuela que los niños. Y para los más jóvenes, la suspensión también era menor desde el principio, pero el resultado también era más duradero. Eso no quiere decir que los niños mayores no se beneficiaran. Así que esas son solo algunas de las conclusiones sobre, y creo que formas en que abordamos trabajos anteriores [00:28:00]</w:t>
      </w:r>
      <w:r>
        <w:rPr>
          <w:rFonts w:ascii="Aptos" w:hAnsi="Aptos"/>
        </w:rPr>
        <w:t>, ¿verdad? Porque MTO, por ejemplo, eh, esos impactos, eh, para el rendimiento al menos, y no hemos analizado el rendimiento en este estudio particular de la disciplina, pero sabemos que esos beneficios se desvanecieron con el tiempo. Así que definitivamente queríamos asegurarnos de que los resultados de la disciplina fueran duraderos, y, eh, felizmente, descubrimos que ese es el caso.</w:t>
      </w:r>
    </w:p>
    <w:p w14:paraId="2A380138" w14:textId="77777777" w:rsidR="000D6DE7" w:rsidRDefault="00A118B8">
      <w:pPr>
        <w:spacing w:after="160"/>
      </w:pPr>
      <w:r>
        <w:rPr>
          <w:rFonts w:ascii="Aptos" w:hAnsi="Aptos"/>
        </w:rPr>
        <w:t>[00:28:30] Orador 3: Hay [00:29:00] un</w:t>
      </w:r>
    </w:p>
    <w:sectPr w:rsidR="000D6DE7" w:rsidSect="00034616">
      <w:pgSz w:w="12240" w:h="15840"/>
      <w:pgMar w:top="1080" w:right="1200" w:bottom="1080" w:left="12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notTrueType/>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66222945">
    <w:abstractNumId w:val="8"/>
  </w:num>
  <w:num w:numId="2" w16cid:durableId="1682005749">
    <w:abstractNumId w:val="6"/>
  </w:num>
  <w:num w:numId="3" w16cid:durableId="1379164527">
    <w:abstractNumId w:val="5"/>
  </w:num>
  <w:num w:numId="4" w16cid:durableId="468278603">
    <w:abstractNumId w:val="4"/>
  </w:num>
  <w:num w:numId="5" w16cid:durableId="1954824958">
    <w:abstractNumId w:val="7"/>
  </w:num>
  <w:num w:numId="6" w16cid:durableId="1473717281">
    <w:abstractNumId w:val="3"/>
  </w:num>
  <w:num w:numId="7" w16cid:durableId="680618981">
    <w:abstractNumId w:val="2"/>
  </w:num>
  <w:num w:numId="8" w16cid:durableId="1977705">
    <w:abstractNumId w:val="1"/>
  </w:num>
  <w:num w:numId="9" w16cid:durableId="187723337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1"/>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D6DE7"/>
    <w:rsid w:val="0015074B"/>
    <w:rsid w:val="0029639D"/>
    <w:rsid w:val="002A6C49"/>
    <w:rsid w:val="00326F90"/>
    <w:rsid w:val="00525887"/>
    <w:rsid w:val="00A118B8"/>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C372A66"/>
  <w14:defaultImageDpi w14:val="300"/>
  <w15:docId w15:val="{15A22359-ECC9-A746-B940-7A0DDFA05C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3727</Words>
  <Characters>19199</Characters>
  <Application>Microsoft Office Word</Application>
  <DocSecurity>0</DocSecurity>
  <Lines>243</Lines>
  <Paragraphs>23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22903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Richard Long</cp:lastModifiedBy>
  <cp:revision>2</cp:revision>
  <dcterms:created xsi:type="dcterms:W3CDTF">2026-08-31T20:06:00Z</dcterms:created>
  <dcterms:modified xsi:type="dcterms:W3CDTF">2026-08-31T20:06:00Z</dcterms:modified>
  <cp:category/>
</cp:coreProperties>
</file>